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申报完毕所需提交材料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1.校内基本预算需上报材料：</w:t>
      </w:r>
      <w:r>
        <w:rPr>
          <w:rFonts w:hint="eastAsia"/>
          <w:b w:val="0"/>
          <w:bCs w:val="0"/>
          <w:color w:val="0000FF"/>
          <w:sz w:val="24"/>
          <w:szCs w:val="24"/>
          <w:lang w:val="en-US" w:eastAsia="zh-CN"/>
        </w:rPr>
        <w:t>纸质版项目申报明细表及上传材料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69230" cy="2353945"/>
            <wp:effectExtent l="0" t="0" r="7620" b="825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打印样本：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67960" cy="3602355"/>
            <wp:effectExtent l="0" t="0" r="8890" b="17145"/>
            <wp:docPr id="4" name="图片 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无创收收入单位上报材料</w:t>
      </w:r>
      <w:r>
        <w:rPr>
          <w:rFonts w:hint="eastAsia"/>
          <w:sz w:val="24"/>
          <w:szCs w:val="24"/>
          <w:lang w:val="en-US"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"http://cwc.nwnu.edu.cn/upload/kindeditor/file/20171106/20171106012132_55296.docx" \t "http://cwc.nwnu.edu.cn/_blank"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3"/>
          <w:rFonts w:ascii="宋体" w:hAnsi="宋体" w:eastAsia="宋体" w:cs="宋体"/>
          <w:sz w:val="21"/>
          <w:szCs w:val="21"/>
        </w:rPr>
        <w:t>2018年校内预算收入申报汇总表（无创收收入填报）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2.专项经费需上报材料：申报文本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我的已处理记录——查看——打印（最下面）——选择全选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（1）各学院归口单位为相应学科建设委员会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（2）其他单位设备购置、维修改造归口单位分别为设备处、后勤处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（3）其余项目归口单位为财务处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65420" cy="2563495"/>
            <wp:effectExtent l="0" t="0" r="11430" b="825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055" cy="2267585"/>
            <wp:effectExtent l="0" t="0" r="10795" b="18415"/>
            <wp:docPr id="3" name="图片 3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color w:val="0000FF"/>
          <w:sz w:val="24"/>
          <w:szCs w:val="32"/>
          <w:lang w:val="en-US" w:eastAsia="zh-CN"/>
        </w:rPr>
        <w:t>打印样本</w:t>
      </w:r>
      <w:r>
        <w:rPr>
          <w:rFonts w:hint="eastAsia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2880" cy="2527935"/>
            <wp:effectExtent l="0" t="0" r="13970" b="5715"/>
            <wp:docPr id="5" name="图片 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B2BB2"/>
    <w:rsid w:val="3A054873"/>
    <w:rsid w:val="55CE5B8F"/>
    <w:rsid w:val="5E573B89"/>
    <w:rsid w:val="775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2017-11-07T08:31:38Z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